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drawing xmlns:a="http://schemas.openxmlformats.org/drawingml/2006/main">
          <wp:inline distT="0" distB="0" distL="0" distR="0">
            <wp:extent cx="1600200" cy="1638300"/>
            <wp:effectExtent l="0" t="0" r="0" b="0"/>
            <wp:docPr id="1073741825" name="officeArt object" descr="A picture containing text, quee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, queen, clipartDescription automatically generated" descr="A picture containing text, queen, clipart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</w:pPr>
    </w:p>
    <w:p>
      <w:pPr>
        <w:pStyle w:val="Body A"/>
        <w:jc w:val="center"/>
        <w:rPr>
          <w:rFonts w:ascii="Adobe Caslon Pro" w:cs="Adobe Caslon Pro" w:hAnsi="Adobe Caslon Pro" w:eastAsia="Adobe Caslon Pro"/>
          <w:b w:val="1"/>
          <w:bCs w:val="1"/>
          <w:sz w:val="36"/>
          <w:szCs w:val="36"/>
        </w:rPr>
      </w:pPr>
      <w:r>
        <w:rPr>
          <w:rFonts w:ascii="Adobe Caslon Pro" w:cs="Adobe Caslon Pro" w:hAnsi="Adobe Caslon Pro" w:eastAsia="Adobe Caslon Pro"/>
          <w:b w:val="1"/>
          <w:bCs w:val="1"/>
          <w:sz w:val="36"/>
          <w:szCs w:val="36"/>
          <w:rtl w:val="0"/>
          <w:lang w:val="en-US"/>
        </w:rPr>
        <w:t>The Society of West Cheshire Lady Golf Captains</w:t>
      </w:r>
    </w:p>
    <w:p>
      <w:pPr>
        <w:pStyle w:val="Body A"/>
        <w:jc w:val="center"/>
        <w:rPr>
          <w:rFonts w:ascii="Adobe Caslon Pro" w:cs="Adobe Caslon Pro" w:hAnsi="Adobe Caslon Pro" w:eastAsia="Adobe Caslon Pro"/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rFonts w:ascii="Adobe Caslon Pro" w:cs="Adobe Caslon Pro" w:hAnsi="Adobe Caslon Pro" w:eastAsia="Adobe Caslon Pro"/>
          <w:b w:val="1"/>
          <w:bCs w:val="1"/>
          <w:sz w:val="36"/>
          <w:szCs w:val="36"/>
        </w:rPr>
      </w:pPr>
      <w:r>
        <w:rPr>
          <w:rFonts w:ascii="Adobe Caslon Pro" w:cs="Adobe Caslon Pro" w:hAnsi="Adobe Caslon Pro" w:eastAsia="Adobe Caslon Pro"/>
          <w:b w:val="1"/>
          <w:bCs w:val="1"/>
          <w:sz w:val="36"/>
          <w:szCs w:val="36"/>
          <w:rtl w:val="0"/>
          <w:lang w:val="en-US"/>
        </w:rPr>
        <w:t>Privacy Notice</w:t>
      </w:r>
    </w:p>
    <w:p>
      <w:pPr>
        <w:pStyle w:val="Body A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The data the society routinely collects includes members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sz w:val="20"/>
          <w:szCs w:val="20"/>
          <w:rtl w:val="0"/>
          <w:lang w:val="en-US"/>
        </w:rPr>
        <w:t>names, addresses, email addresses, telephone numbers and golf club membership.  This data is collected directly from the society members when they join the society or when they update their information.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Members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sz w:val="20"/>
          <w:szCs w:val="20"/>
          <w:rtl w:val="0"/>
          <w:lang w:val="en-US"/>
        </w:rPr>
        <w:t>data is used for the administration of membership, for sending out subscription renewal notices and for communicating information regarding the AGM, bridge drives, golf meetings and matches.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Members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sz w:val="20"/>
          <w:szCs w:val="20"/>
          <w:rtl w:val="0"/>
          <w:lang w:val="en-US"/>
        </w:rPr>
        <w:t>personal data is not passed on by the society to anyone else.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information is primarily stored in digital format as an Excel worksheet.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Any paper forms received from March 2022 onwards (e.g. membership applications) are stored for two years.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Members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 addresses and telephone numbers are also maintained in the contacts section of the society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general account. Members will be contacted once a year to confirm that they agree or disagree to the society retaining their data for the forthcoming year.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Under the General Data Protection Regulation (GDPR) the society does not have a statutory requirement to have a Data Protection Officer. The person who is responsible for ensuring the society discharges its obligations under the GDPR is the Treasurer.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Members of the committee have access to members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sz w:val="20"/>
          <w:szCs w:val="20"/>
          <w:rtl w:val="0"/>
          <w:lang w:val="en-US"/>
        </w:rPr>
        <w:t>data. This allows them to carry out their legitimate tasks for the society.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The society collects personal data necessary for the purposes of its legitimate interests as a membership organisation and participant in an internationally recognised and regulated competitive sport.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For data relating to financial matters, the basis for its collection and retention is to comply with the society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legal obligations.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any member wants to see the data the society holds about them, they should contact the Treasurer.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</w:pPr>
      <w:r>
        <w:rPr>
          <w:rFonts w:ascii="Arial" w:hAnsi="Arial"/>
          <w:sz w:val="20"/>
          <w:szCs w:val="20"/>
          <w:rtl w:val="0"/>
          <w:lang w:val="en-US"/>
        </w:rPr>
        <w:t xml:space="preserve">The Society retains names and contact details of members both in written and digital form and will archive these when a member leaves or is deceased as this archive is a valuable history of our society. </w:t>
      </w:r>
      <w:r>
        <w:rPr>
          <w:rFonts w:ascii="Arial" w:hAnsi="Arial"/>
          <w:sz w:val="20"/>
          <w:szCs w:val="20"/>
          <w:rtl w:val="0"/>
          <w:lang w:val="en-US"/>
        </w:rPr>
        <w:t xml:space="preserve">However, such data will be deleted entirely on request. </w:t>
      </w:r>
    </w:p>
    <w:sectPr>
      <w:headerReference w:type="default" r:id="rId5"/>
      <w:footerReference w:type="default" r:id="rId6"/>
      <w:pgSz w:w="11900" w:h="16840" w:orient="portrait"/>
      <w:pgMar w:top="1418" w:right="1701" w:bottom="1418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dobe Caslon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